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4A4" w:rsidRDefault="00367D6C">
      <w:bookmarkStart w:id="0" w:name="_GoBack"/>
      <w:bookmarkEnd w:id="0"/>
      <w:r>
        <w:rPr>
          <w:noProof/>
        </w:rPr>
        <w:drawing>
          <wp:inline distT="0" distB="0" distL="0" distR="0">
            <wp:extent cx="5943600" cy="11879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1187901"/>
                    </a:xfrm>
                    <a:prstGeom prst="rect">
                      <a:avLst/>
                    </a:prstGeom>
                    <a:noFill/>
                    <a:ln>
                      <a:noFill/>
                    </a:ln>
                  </pic:spPr>
                </pic:pic>
              </a:graphicData>
            </a:graphic>
          </wp:inline>
        </w:drawing>
      </w:r>
    </w:p>
    <w:p w:rsidR="00367D6C" w:rsidRDefault="00367D6C" w:rsidP="00367D6C">
      <w:pPr>
        <w:pStyle w:val="Default"/>
      </w:pPr>
    </w:p>
    <w:p w:rsidR="00367D6C" w:rsidRDefault="00367D6C" w:rsidP="00367D6C">
      <w:pPr>
        <w:pStyle w:val="Default"/>
        <w:rPr>
          <w:sz w:val="36"/>
          <w:szCs w:val="36"/>
        </w:rPr>
      </w:pPr>
      <w:r>
        <w:t xml:space="preserve"> </w:t>
      </w:r>
      <w:r>
        <w:rPr>
          <w:b/>
          <w:bCs/>
          <w:sz w:val="36"/>
          <w:szCs w:val="36"/>
        </w:rPr>
        <w:t xml:space="preserve">Supervised Exercise Therapy (SET) for Symptomatic Peripheral Artery Disease (PAD) </w:t>
      </w:r>
    </w:p>
    <w:p w:rsidR="00367D6C" w:rsidRDefault="00367D6C" w:rsidP="00367D6C">
      <w:pPr>
        <w:pStyle w:val="Default"/>
        <w:rPr>
          <w:sz w:val="22"/>
          <w:szCs w:val="22"/>
        </w:rPr>
      </w:pPr>
      <w:r>
        <w:rPr>
          <w:sz w:val="22"/>
          <w:szCs w:val="22"/>
        </w:rPr>
        <w:t xml:space="preserve">MLN Matters Number: MM10295 Revised </w:t>
      </w:r>
    </w:p>
    <w:p w:rsidR="00367D6C" w:rsidRDefault="00367D6C" w:rsidP="00367D6C">
      <w:pPr>
        <w:pStyle w:val="Default"/>
        <w:rPr>
          <w:sz w:val="22"/>
          <w:szCs w:val="22"/>
        </w:rPr>
      </w:pPr>
      <w:r>
        <w:rPr>
          <w:sz w:val="22"/>
          <w:szCs w:val="22"/>
        </w:rPr>
        <w:t xml:space="preserve">Related CR Release Date: May 11, 2018 </w:t>
      </w:r>
    </w:p>
    <w:p w:rsidR="00367D6C" w:rsidRDefault="00367D6C" w:rsidP="00367D6C">
      <w:pPr>
        <w:pStyle w:val="Default"/>
        <w:rPr>
          <w:sz w:val="22"/>
          <w:szCs w:val="22"/>
        </w:rPr>
      </w:pPr>
      <w:r>
        <w:rPr>
          <w:sz w:val="22"/>
          <w:szCs w:val="22"/>
        </w:rPr>
        <w:t xml:space="preserve">Related CR Transmittal Number: R207NCD and R4049CP </w:t>
      </w:r>
    </w:p>
    <w:p w:rsidR="00367D6C" w:rsidRDefault="00367D6C" w:rsidP="00367D6C">
      <w:pPr>
        <w:pStyle w:val="Default"/>
        <w:rPr>
          <w:sz w:val="22"/>
          <w:szCs w:val="22"/>
        </w:rPr>
      </w:pPr>
      <w:r>
        <w:rPr>
          <w:sz w:val="22"/>
          <w:szCs w:val="22"/>
        </w:rPr>
        <w:t xml:space="preserve">Related Change Request (CR) Number: 10295 </w:t>
      </w:r>
    </w:p>
    <w:p w:rsidR="00367D6C" w:rsidRDefault="00367D6C" w:rsidP="00367D6C">
      <w:pPr>
        <w:pStyle w:val="Default"/>
        <w:rPr>
          <w:sz w:val="22"/>
          <w:szCs w:val="22"/>
        </w:rPr>
      </w:pPr>
      <w:r>
        <w:rPr>
          <w:sz w:val="22"/>
          <w:szCs w:val="22"/>
        </w:rPr>
        <w:t xml:space="preserve">Effective Date: May 25, 2017 </w:t>
      </w:r>
    </w:p>
    <w:p w:rsidR="00367D6C" w:rsidRDefault="00367D6C" w:rsidP="00367D6C">
      <w:pPr>
        <w:pStyle w:val="Default"/>
        <w:rPr>
          <w:sz w:val="22"/>
          <w:szCs w:val="22"/>
        </w:rPr>
      </w:pPr>
      <w:r>
        <w:rPr>
          <w:sz w:val="22"/>
          <w:szCs w:val="22"/>
        </w:rPr>
        <w:t xml:space="preserve">Implementation Date: July 2, 2018 </w:t>
      </w:r>
    </w:p>
    <w:p w:rsidR="00367D6C" w:rsidRDefault="00367D6C" w:rsidP="00367D6C">
      <w:pPr>
        <w:pStyle w:val="Default"/>
        <w:pBdr>
          <w:top w:val="single" w:sz="4" w:space="1" w:color="auto"/>
          <w:left w:val="single" w:sz="4" w:space="4" w:color="auto"/>
          <w:bottom w:val="single" w:sz="4" w:space="1" w:color="auto"/>
          <w:right w:val="single" w:sz="4" w:space="4" w:color="auto"/>
        </w:pBdr>
        <w:shd w:val="clear" w:color="auto" w:fill="FFFF00"/>
        <w:rPr>
          <w:sz w:val="22"/>
          <w:szCs w:val="22"/>
        </w:rPr>
      </w:pPr>
      <w:r>
        <w:rPr>
          <w:b/>
          <w:bCs/>
          <w:sz w:val="22"/>
          <w:szCs w:val="22"/>
        </w:rPr>
        <w:t xml:space="preserve">Note: The article was revised on May 15, 2018, to clarify that one of the requirements of the SET program is it must be conducted in a hospital outpatient setting or in a physician’s office. All other information remains the same. </w:t>
      </w:r>
    </w:p>
    <w:p w:rsidR="00367D6C" w:rsidRDefault="00367D6C" w:rsidP="00367D6C">
      <w:pPr>
        <w:pStyle w:val="Default"/>
        <w:rPr>
          <w:sz w:val="28"/>
          <w:szCs w:val="28"/>
        </w:rPr>
      </w:pPr>
      <w:r>
        <w:rPr>
          <w:b/>
          <w:bCs/>
          <w:sz w:val="28"/>
          <w:szCs w:val="28"/>
        </w:rPr>
        <w:t xml:space="preserve">PROVIDER TYPES AFFECTED </w:t>
      </w:r>
    </w:p>
    <w:p w:rsidR="00367D6C" w:rsidRDefault="00367D6C" w:rsidP="00367D6C">
      <w:pPr>
        <w:pStyle w:val="Default"/>
        <w:rPr>
          <w:sz w:val="22"/>
          <w:szCs w:val="22"/>
        </w:rPr>
      </w:pPr>
      <w:r>
        <w:rPr>
          <w:sz w:val="22"/>
          <w:szCs w:val="22"/>
        </w:rPr>
        <w:t xml:space="preserve">This MLN Matters Article is intended for physicians, providers, and suppliers billing Medicare Administrative Contractors (MACs) for services provided to Medicare beneficiaries. </w:t>
      </w:r>
    </w:p>
    <w:p w:rsidR="00367D6C" w:rsidRDefault="00367D6C" w:rsidP="00367D6C">
      <w:pPr>
        <w:pStyle w:val="Default"/>
        <w:rPr>
          <w:sz w:val="28"/>
          <w:szCs w:val="28"/>
        </w:rPr>
      </w:pPr>
      <w:r>
        <w:rPr>
          <w:b/>
          <w:bCs/>
          <w:sz w:val="28"/>
          <w:szCs w:val="28"/>
        </w:rPr>
        <w:t xml:space="preserve">PROVIDER ACTION NEEDED </w:t>
      </w:r>
    </w:p>
    <w:p w:rsidR="00367D6C" w:rsidRDefault="00367D6C" w:rsidP="00367D6C">
      <w:pPr>
        <w:pStyle w:val="Default"/>
      </w:pPr>
      <w:r>
        <w:rPr>
          <w:sz w:val="22"/>
          <w:szCs w:val="22"/>
        </w:rPr>
        <w:t>Change Request</w:t>
      </w:r>
      <w:r>
        <w:t xml:space="preserve"> </w:t>
      </w:r>
    </w:p>
    <w:p w:rsidR="00367D6C" w:rsidRDefault="00367D6C" w:rsidP="00367D6C">
      <w:pPr>
        <w:pStyle w:val="Default"/>
        <w:rPr>
          <w:sz w:val="22"/>
          <w:szCs w:val="22"/>
        </w:rPr>
      </w:pPr>
      <w:r>
        <w:t xml:space="preserve"> </w:t>
      </w:r>
      <w:r>
        <w:rPr>
          <w:sz w:val="22"/>
          <w:szCs w:val="22"/>
        </w:rPr>
        <w:t xml:space="preserve">(CR) 10295 informs MACs that effective May 25, 2017, the Centers for Medicare &amp; Medicaid Services (CMS) issued a National Coverage Determination (NCD) to cover Supervised Exercise Therapy (SET) for beneficiaries with Intermittent Claudication (IC) for the treatment of symptomatic Peripheral Artery Disease (PAD). Make sure your billing staffs are aware of these changes. </w:t>
      </w:r>
    </w:p>
    <w:p w:rsidR="00367D6C" w:rsidRDefault="00367D6C" w:rsidP="00367D6C">
      <w:pPr>
        <w:pStyle w:val="Default"/>
        <w:rPr>
          <w:sz w:val="28"/>
          <w:szCs w:val="28"/>
        </w:rPr>
      </w:pPr>
      <w:r>
        <w:rPr>
          <w:b/>
          <w:bCs/>
          <w:sz w:val="28"/>
          <w:szCs w:val="28"/>
        </w:rPr>
        <w:t xml:space="preserve">BACKGROUND </w:t>
      </w:r>
    </w:p>
    <w:p w:rsidR="00367D6C" w:rsidRDefault="00367D6C" w:rsidP="00367D6C">
      <w:pPr>
        <w:pStyle w:val="Default"/>
        <w:rPr>
          <w:sz w:val="22"/>
          <w:szCs w:val="22"/>
        </w:rPr>
      </w:pPr>
      <w:r>
        <w:rPr>
          <w:sz w:val="22"/>
          <w:szCs w:val="22"/>
        </w:rPr>
        <w:t xml:space="preserve">SET involves the use of intermittent walking exercise, which alternates periods of walking to moderate-to-maximum claudication, with rest. SET has been recommended as the initial treatment for patients suffering from IC, the most common symptom experienced by people with PAD. </w:t>
      </w:r>
    </w:p>
    <w:p w:rsidR="00367D6C" w:rsidRDefault="00367D6C" w:rsidP="00367D6C">
      <w:pPr>
        <w:pStyle w:val="Default"/>
        <w:rPr>
          <w:sz w:val="22"/>
          <w:szCs w:val="22"/>
        </w:rPr>
      </w:pPr>
      <w:r>
        <w:rPr>
          <w:sz w:val="22"/>
          <w:szCs w:val="22"/>
        </w:rPr>
        <w:t xml:space="preserve">Despite years of high-quality research illustrating the effectiveness of SET, more invasive treatment options (such as, endovascular revascularization) have continued to increase. This has been partly attributed to patients having limited access to SET programs. There is currently no NCD in effect. </w:t>
      </w:r>
    </w:p>
    <w:p w:rsidR="00367D6C" w:rsidRDefault="00367D6C" w:rsidP="00367D6C">
      <w:pPr>
        <w:pStyle w:val="Default"/>
        <w:rPr>
          <w:sz w:val="22"/>
          <w:szCs w:val="22"/>
        </w:rPr>
      </w:pPr>
      <w:r>
        <w:rPr>
          <w:sz w:val="22"/>
          <w:szCs w:val="22"/>
        </w:rPr>
        <w:t xml:space="preserve">CMS issued the NCD to cover SET for beneficiaries with IC for the treatment of symptomatic PAD. Up to 36 sessions over a 12-week period are covered if all of the following components of </w:t>
      </w:r>
      <w:r>
        <w:rPr>
          <w:b/>
          <w:bCs/>
          <w:sz w:val="22"/>
          <w:szCs w:val="22"/>
        </w:rPr>
        <w:t xml:space="preserve">MLN Matters MM10295 Related CR 10295 </w:t>
      </w:r>
    </w:p>
    <w:p w:rsidR="00367D6C" w:rsidRDefault="00367D6C" w:rsidP="00367D6C">
      <w:pPr>
        <w:pStyle w:val="Default"/>
        <w:rPr>
          <w:color w:val="auto"/>
          <w:sz w:val="22"/>
          <w:szCs w:val="22"/>
        </w:rPr>
      </w:pPr>
      <w:r>
        <w:rPr>
          <w:color w:val="auto"/>
          <w:sz w:val="22"/>
          <w:szCs w:val="22"/>
        </w:rPr>
        <w:t xml:space="preserve">Page 2 of 5 </w:t>
      </w:r>
    </w:p>
    <w:p w:rsidR="00367D6C" w:rsidRDefault="00367D6C" w:rsidP="00367D6C">
      <w:pPr>
        <w:pStyle w:val="Default"/>
        <w:rPr>
          <w:color w:val="auto"/>
        </w:rPr>
      </w:pPr>
    </w:p>
    <w:p w:rsidR="00367D6C" w:rsidRDefault="00367D6C" w:rsidP="00367D6C">
      <w:pPr>
        <w:pStyle w:val="Default"/>
        <w:pageBreakBefore/>
        <w:rPr>
          <w:color w:val="auto"/>
          <w:sz w:val="22"/>
          <w:szCs w:val="22"/>
        </w:rPr>
      </w:pPr>
      <w:proofErr w:type="gramStart"/>
      <w:r>
        <w:rPr>
          <w:color w:val="auto"/>
          <w:sz w:val="22"/>
          <w:szCs w:val="22"/>
        </w:rPr>
        <w:lastRenderedPageBreak/>
        <w:t>a</w:t>
      </w:r>
      <w:proofErr w:type="gramEnd"/>
      <w:r>
        <w:rPr>
          <w:color w:val="auto"/>
          <w:sz w:val="22"/>
          <w:szCs w:val="22"/>
        </w:rPr>
        <w:t xml:space="preserve"> SET program are met: </w:t>
      </w:r>
    </w:p>
    <w:p w:rsidR="00367D6C" w:rsidRDefault="00367D6C" w:rsidP="00367D6C">
      <w:pPr>
        <w:pStyle w:val="Default"/>
        <w:rPr>
          <w:color w:val="auto"/>
          <w:sz w:val="22"/>
          <w:szCs w:val="22"/>
        </w:rPr>
      </w:pPr>
      <w:r>
        <w:rPr>
          <w:color w:val="auto"/>
          <w:sz w:val="22"/>
          <w:szCs w:val="22"/>
        </w:rPr>
        <w:t xml:space="preserve">The SET program must: </w:t>
      </w:r>
    </w:p>
    <w:p w:rsidR="00367D6C" w:rsidRDefault="00367D6C" w:rsidP="00367D6C">
      <w:pPr>
        <w:pStyle w:val="Default"/>
        <w:spacing w:after="14"/>
        <w:rPr>
          <w:color w:val="auto"/>
          <w:sz w:val="22"/>
          <w:szCs w:val="22"/>
        </w:rPr>
      </w:pPr>
      <w:r>
        <w:rPr>
          <w:rFonts w:ascii="Calibri" w:hAnsi="Calibri" w:cs="Calibri"/>
          <w:b/>
          <w:bCs/>
          <w:color w:val="auto"/>
          <w:sz w:val="22"/>
          <w:szCs w:val="22"/>
        </w:rPr>
        <w:t xml:space="preserve">• </w:t>
      </w:r>
      <w:r>
        <w:rPr>
          <w:color w:val="auto"/>
          <w:sz w:val="22"/>
          <w:szCs w:val="22"/>
        </w:rPr>
        <w:t xml:space="preserve">Consist of sessions lasting 30-60 minutes, comprising a therapeutic exercise-training program for PAD in patients with claudication </w:t>
      </w:r>
    </w:p>
    <w:p w:rsidR="00367D6C" w:rsidRDefault="00367D6C" w:rsidP="00367D6C">
      <w:pPr>
        <w:pStyle w:val="Default"/>
        <w:spacing w:after="14"/>
        <w:rPr>
          <w:color w:val="auto"/>
          <w:sz w:val="22"/>
          <w:szCs w:val="22"/>
        </w:rPr>
      </w:pPr>
      <w:r>
        <w:rPr>
          <w:rFonts w:ascii="Calibri" w:hAnsi="Calibri" w:cs="Calibri"/>
          <w:b/>
          <w:bCs/>
          <w:color w:val="auto"/>
          <w:sz w:val="22"/>
          <w:szCs w:val="22"/>
        </w:rPr>
        <w:t xml:space="preserve">• </w:t>
      </w:r>
      <w:r>
        <w:rPr>
          <w:color w:val="auto"/>
          <w:sz w:val="22"/>
          <w:szCs w:val="22"/>
        </w:rPr>
        <w:t xml:space="preserve">Be conducted in a hospital outpatient setting or a physician’s office </w:t>
      </w:r>
    </w:p>
    <w:p w:rsidR="00367D6C" w:rsidRDefault="00367D6C" w:rsidP="00367D6C">
      <w:pPr>
        <w:pStyle w:val="Default"/>
        <w:spacing w:after="14"/>
        <w:rPr>
          <w:color w:val="auto"/>
          <w:sz w:val="22"/>
          <w:szCs w:val="22"/>
        </w:rPr>
      </w:pPr>
      <w:r>
        <w:rPr>
          <w:rFonts w:ascii="Calibri" w:hAnsi="Calibri" w:cs="Calibri"/>
          <w:b/>
          <w:bCs/>
          <w:color w:val="auto"/>
          <w:sz w:val="22"/>
          <w:szCs w:val="22"/>
        </w:rPr>
        <w:t xml:space="preserve">• </w:t>
      </w:r>
      <w:r>
        <w:rPr>
          <w:color w:val="auto"/>
          <w:sz w:val="22"/>
          <w:szCs w:val="22"/>
        </w:rPr>
        <w:t xml:space="preserve">Be delivered by qualified auxiliary personnel necessary to ensure benefits exceed harms, and who are trained in exercise therapy for PAD </w:t>
      </w:r>
    </w:p>
    <w:p w:rsidR="00367D6C" w:rsidRDefault="00367D6C" w:rsidP="00367D6C">
      <w:pPr>
        <w:pStyle w:val="Default"/>
        <w:rPr>
          <w:color w:val="auto"/>
          <w:sz w:val="22"/>
          <w:szCs w:val="22"/>
        </w:rPr>
      </w:pPr>
      <w:r>
        <w:rPr>
          <w:rFonts w:ascii="Calibri" w:hAnsi="Calibri" w:cs="Calibri"/>
          <w:b/>
          <w:bCs/>
          <w:color w:val="auto"/>
          <w:sz w:val="22"/>
          <w:szCs w:val="22"/>
        </w:rPr>
        <w:t xml:space="preserve">• </w:t>
      </w:r>
      <w:r>
        <w:rPr>
          <w:color w:val="auto"/>
          <w:sz w:val="22"/>
          <w:szCs w:val="22"/>
        </w:rPr>
        <w:t xml:space="preserve">Be under the direct supervision of a physician (as defined in Section 1861(r)(1)) of the Social Security Act (the Act), physician assistant, or nurse practitioner/clinical nurse specialist (as identified in Section 1861(aa)(5) of the Act)) who must be trained in both basic and advanced life support techniques. </w:t>
      </w:r>
    </w:p>
    <w:p w:rsidR="00367D6C" w:rsidRDefault="00367D6C" w:rsidP="00367D6C">
      <w:pPr>
        <w:pStyle w:val="Default"/>
        <w:rPr>
          <w:color w:val="auto"/>
          <w:sz w:val="22"/>
          <w:szCs w:val="22"/>
        </w:rPr>
      </w:pPr>
    </w:p>
    <w:p w:rsidR="00367D6C" w:rsidRDefault="00367D6C" w:rsidP="00367D6C">
      <w:pPr>
        <w:pStyle w:val="Default"/>
        <w:rPr>
          <w:color w:val="auto"/>
          <w:sz w:val="22"/>
          <w:szCs w:val="22"/>
        </w:rPr>
      </w:pPr>
      <w:r>
        <w:rPr>
          <w:color w:val="auto"/>
          <w:sz w:val="22"/>
          <w:szCs w:val="22"/>
        </w:rPr>
        <w:t xml:space="preserve">Beneficiaries must have a face-to-face visit with the physician responsible for PAD treatment to obtain the referral for SET. At this visit, the beneficiary must receive information regarding cardiovascular disease and PAD risk factor reduction, which could include education, counseling, behavioral interventions, and outcome assessments. </w:t>
      </w:r>
    </w:p>
    <w:p w:rsidR="00367D6C" w:rsidRDefault="00367D6C" w:rsidP="00367D6C">
      <w:pPr>
        <w:pStyle w:val="Default"/>
        <w:rPr>
          <w:color w:val="auto"/>
          <w:sz w:val="22"/>
          <w:szCs w:val="22"/>
        </w:rPr>
      </w:pPr>
      <w:r>
        <w:rPr>
          <w:color w:val="auto"/>
          <w:sz w:val="22"/>
          <w:szCs w:val="22"/>
        </w:rPr>
        <w:t xml:space="preserve">MACs have the discretion to cover SET beyond 36 sessions over 12 weeks and may cover an additional 36 sessions over an extended period of time. MACs shall accept the inclusion of the KX modifier on the claim line(s) as an attestation by the provider of the services that documentation is on file verifying that further treatment beyond the 36 sessions of SET over a 12-week period meets the requirements of the medical policy. SET is non-covered for beneficiaries with absolute contraindications to exercise as determined by their primary attending physician. </w:t>
      </w:r>
    </w:p>
    <w:p w:rsidR="00367D6C" w:rsidRDefault="00367D6C" w:rsidP="00367D6C">
      <w:pPr>
        <w:pStyle w:val="Default"/>
        <w:rPr>
          <w:color w:val="auto"/>
          <w:sz w:val="22"/>
          <w:szCs w:val="22"/>
        </w:rPr>
      </w:pPr>
      <w:r>
        <w:rPr>
          <w:b/>
          <w:bCs/>
          <w:color w:val="auto"/>
          <w:sz w:val="22"/>
          <w:szCs w:val="22"/>
        </w:rPr>
        <w:t xml:space="preserve">Coding Requirements for SET </w:t>
      </w:r>
    </w:p>
    <w:p w:rsidR="00367D6C" w:rsidRDefault="00367D6C" w:rsidP="00367D6C">
      <w:pPr>
        <w:pStyle w:val="Default"/>
        <w:rPr>
          <w:color w:val="auto"/>
          <w:sz w:val="22"/>
          <w:szCs w:val="22"/>
        </w:rPr>
      </w:pPr>
      <w:r>
        <w:rPr>
          <w:color w:val="auto"/>
          <w:sz w:val="22"/>
          <w:szCs w:val="22"/>
        </w:rPr>
        <w:t>Providers should use Current Procedural Terminology (CPT) 93668 (Under Peripheral Arterial Disease Rehabilitation) to bill for these services with appropriate International Statistical Classification of Diseases and Related Health Problems 10</w:t>
      </w:r>
      <w:r>
        <w:rPr>
          <w:color w:val="auto"/>
          <w:sz w:val="14"/>
          <w:szCs w:val="14"/>
        </w:rPr>
        <w:t xml:space="preserve">th </w:t>
      </w:r>
      <w:r>
        <w:rPr>
          <w:color w:val="auto"/>
          <w:sz w:val="22"/>
          <w:szCs w:val="22"/>
        </w:rPr>
        <w:t xml:space="preserve">Revision (ICD-10) Code as follows: </w:t>
      </w:r>
    </w:p>
    <w:p w:rsidR="00367D6C" w:rsidRDefault="00367D6C" w:rsidP="00367D6C">
      <w:pPr>
        <w:pStyle w:val="Default"/>
        <w:spacing w:after="30"/>
        <w:rPr>
          <w:color w:val="auto"/>
          <w:sz w:val="22"/>
          <w:szCs w:val="22"/>
        </w:rPr>
      </w:pPr>
      <w:r>
        <w:rPr>
          <w:color w:val="auto"/>
          <w:sz w:val="22"/>
          <w:szCs w:val="22"/>
        </w:rPr>
        <w:t xml:space="preserve"> I70.211 – right leg </w:t>
      </w:r>
    </w:p>
    <w:p w:rsidR="00367D6C" w:rsidRDefault="00367D6C" w:rsidP="00367D6C">
      <w:pPr>
        <w:pStyle w:val="Default"/>
        <w:spacing w:after="30"/>
        <w:rPr>
          <w:color w:val="auto"/>
          <w:sz w:val="22"/>
          <w:szCs w:val="22"/>
        </w:rPr>
      </w:pPr>
      <w:r>
        <w:rPr>
          <w:color w:val="auto"/>
          <w:sz w:val="22"/>
          <w:szCs w:val="22"/>
        </w:rPr>
        <w:t xml:space="preserve"> I70.212 – left leg </w:t>
      </w:r>
    </w:p>
    <w:p w:rsidR="00367D6C" w:rsidRDefault="00367D6C" w:rsidP="00367D6C">
      <w:pPr>
        <w:pStyle w:val="Default"/>
        <w:spacing w:after="30"/>
        <w:rPr>
          <w:color w:val="auto"/>
          <w:sz w:val="22"/>
          <w:szCs w:val="22"/>
        </w:rPr>
      </w:pPr>
      <w:r>
        <w:rPr>
          <w:color w:val="auto"/>
          <w:sz w:val="22"/>
          <w:szCs w:val="22"/>
        </w:rPr>
        <w:t xml:space="preserve"> I70.213 – bilateral legs </w:t>
      </w:r>
    </w:p>
    <w:p w:rsidR="00367D6C" w:rsidRDefault="00367D6C" w:rsidP="00367D6C">
      <w:pPr>
        <w:pStyle w:val="Default"/>
        <w:spacing w:after="30"/>
        <w:rPr>
          <w:color w:val="auto"/>
          <w:sz w:val="22"/>
          <w:szCs w:val="22"/>
        </w:rPr>
      </w:pPr>
      <w:r>
        <w:rPr>
          <w:color w:val="auto"/>
          <w:sz w:val="22"/>
          <w:szCs w:val="22"/>
        </w:rPr>
        <w:t xml:space="preserve"> I70.218 – other extremity </w:t>
      </w:r>
    </w:p>
    <w:p w:rsidR="00367D6C" w:rsidRDefault="00367D6C" w:rsidP="00367D6C">
      <w:pPr>
        <w:pStyle w:val="Default"/>
        <w:spacing w:after="30"/>
        <w:rPr>
          <w:color w:val="auto"/>
          <w:sz w:val="22"/>
          <w:szCs w:val="22"/>
        </w:rPr>
      </w:pPr>
      <w:r>
        <w:rPr>
          <w:color w:val="auto"/>
          <w:sz w:val="22"/>
          <w:szCs w:val="22"/>
        </w:rPr>
        <w:t xml:space="preserve"> I70.311 – right leg </w:t>
      </w:r>
    </w:p>
    <w:p w:rsidR="00367D6C" w:rsidRDefault="00367D6C" w:rsidP="00367D6C">
      <w:pPr>
        <w:pStyle w:val="Default"/>
        <w:spacing w:after="30"/>
        <w:rPr>
          <w:color w:val="auto"/>
          <w:sz w:val="22"/>
          <w:szCs w:val="22"/>
        </w:rPr>
      </w:pPr>
      <w:r>
        <w:rPr>
          <w:color w:val="auto"/>
          <w:sz w:val="22"/>
          <w:szCs w:val="22"/>
        </w:rPr>
        <w:t xml:space="preserve"> I70.312 – left leg </w:t>
      </w:r>
    </w:p>
    <w:p w:rsidR="00367D6C" w:rsidRDefault="00367D6C" w:rsidP="00367D6C">
      <w:pPr>
        <w:pStyle w:val="Default"/>
        <w:spacing w:after="30"/>
        <w:rPr>
          <w:color w:val="auto"/>
          <w:sz w:val="22"/>
          <w:szCs w:val="22"/>
        </w:rPr>
      </w:pPr>
      <w:r>
        <w:rPr>
          <w:color w:val="auto"/>
          <w:sz w:val="22"/>
          <w:szCs w:val="22"/>
        </w:rPr>
        <w:t xml:space="preserve"> I70.313 – bilateral legs </w:t>
      </w:r>
    </w:p>
    <w:p w:rsidR="00367D6C" w:rsidRDefault="00367D6C" w:rsidP="00367D6C">
      <w:pPr>
        <w:pStyle w:val="Default"/>
        <w:spacing w:after="30"/>
        <w:rPr>
          <w:color w:val="auto"/>
          <w:sz w:val="22"/>
          <w:szCs w:val="22"/>
        </w:rPr>
      </w:pPr>
      <w:r>
        <w:rPr>
          <w:color w:val="auto"/>
          <w:sz w:val="22"/>
          <w:szCs w:val="22"/>
        </w:rPr>
        <w:t xml:space="preserve"> I70.318 – other extremity </w:t>
      </w:r>
    </w:p>
    <w:p w:rsidR="00367D6C" w:rsidRDefault="00367D6C" w:rsidP="00367D6C">
      <w:pPr>
        <w:pStyle w:val="Default"/>
        <w:spacing w:after="30"/>
        <w:rPr>
          <w:color w:val="auto"/>
          <w:sz w:val="22"/>
          <w:szCs w:val="22"/>
        </w:rPr>
      </w:pPr>
      <w:r>
        <w:rPr>
          <w:color w:val="auto"/>
          <w:sz w:val="22"/>
          <w:szCs w:val="22"/>
        </w:rPr>
        <w:t xml:space="preserve"> I70.611 – right leg </w:t>
      </w:r>
    </w:p>
    <w:p w:rsidR="00367D6C" w:rsidRDefault="00367D6C" w:rsidP="00367D6C">
      <w:pPr>
        <w:pStyle w:val="Default"/>
        <w:spacing w:after="30"/>
        <w:rPr>
          <w:color w:val="auto"/>
          <w:sz w:val="22"/>
          <w:szCs w:val="22"/>
        </w:rPr>
      </w:pPr>
      <w:r>
        <w:rPr>
          <w:color w:val="auto"/>
          <w:sz w:val="22"/>
          <w:szCs w:val="22"/>
        </w:rPr>
        <w:t xml:space="preserve"> I70.612 – left leg </w:t>
      </w:r>
    </w:p>
    <w:p w:rsidR="00367D6C" w:rsidRDefault="00367D6C" w:rsidP="00367D6C">
      <w:pPr>
        <w:pStyle w:val="Default"/>
        <w:spacing w:after="30"/>
        <w:rPr>
          <w:color w:val="auto"/>
          <w:sz w:val="22"/>
          <w:szCs w:val="22"/>
        </w:rPr>
      </w:pPr>
      <w:r>
        <w:rPr>
          <w:color w:val="auto"/>
          <w:sz w:val="22"/>
          <w:szCs w:val="22"/>
        </w:rPr>
        <w:t xml:space="preserve"> I70.613 – bilateral legs </w:t>
      </w:r>
    </w:p>
    <w:p w:rsidR="00367D6C" w:rsidRDefault="00367D6C" w:rsidP="00367D6C">
      <w:pPr>
        <w:pStyle w:val="Default"/>
        <w:rPr>
          <w:color w:val="auto"/>
          <w:sz w:val="22"/>
          <w:szCs w:val="22"/>
        </w:rPr>
      </w:pPr>
      <w:r>
        <w:rPr>
          <w:color w:val="auto"/>
          <w:sz w:val="22"/>
          <w:szCs w:val="22"/>
        </w:rPr>
        <w:t xml:space="preserve"> I70.618 – other extremity </w:t>
      </w:r>
    </w:p>
    <w:p w:rsidR="00367D6C" w:rsidRDefault="00367D6C" w:rsidP="00367D6C">
      <w:pPr>
        <w:pStyle w:val="Default"/>
        <w:rPr>
          <w:color w:val="auto"/>
          <w:sz w:val="22"/>
          <w:szCs w:val="22"/>
        </w:rPr>
      </w:pPr>
      <w:r>
        <w:rPr>
          <w:b/>
          <w:bCs/>
          <w:color w:val="auto"/>
          <w:sz w:val="22"/>
          <w:szCs w:val="22"/>
        </w:rPr>
        <w:t xml:space="preserve">MLN Matters MM10295 Related CR 10295 </w:t>
      </w:r>
    </w:p>
    <w:p w:rsidR="00367D6C" w:rsidRDefault="00367D6C" w:rsidP="00367D6C">
      <w:pPr>
        <w:pStyle w:val="Default"/>
        <w:rPr>
          <w:color w:val="auto"/>
          <w:sz w:val="22"/>
          <w:szCs w:val="22"/>
        </w:rPr>
      </w:pPr>
      <w:r>
        <w:rPr>
          <w:color w:val="auto"/>
          <w:sz w:val="22"/>
          <w:szCs w:val="22"/>
        </w:rPr>
        <w:t xml:space="preserve">Page 3 of 5 </w:t>
      </w:r>
    </w:p>
    <w:p w:rsidR="00367D6C" w:rsidRDefault="00367D6C" w:rsidP="00367D6C">
      <w:pPr>
        <w:pStyle w:val="Default"/>
        <w:rPr>
          <w:color w:val="auto"/>
        </w:rPr>
      </w:pPr>
    </w:p>
    <w:p w:rsidR="00367D6C" w:rsidRDefault="00367D6C" w:rsidP="00367D6C">
      <w:pPr>
        <w:pStyle w:val="Default"/>
        <w:pageBreakBefore/>
        <w:rPr>
          <w:color w:val="auto"/>
        </w:rPr>
      </w:pPr>
    </w:p>
    <w:p w:rsidR="00367D6C" w:rsidRDefault="00367D6C" w:rsidP="00367D6C">
      <w:pPr>
        <w:pStyle w:val="Default"/>
        <w:spacing w:after="30"/>
        <w:rPr>
          <w:color w:val="auto"/>
          <w:sz w:val="22"/>
          <w:szCs w:val="22"/>
        </w:rPr>
      </w:pPr>
      <w:r>
        <w:rPr>
          <w:color w:val="auto"/>
          <w:sz w:val="22"/>
          <w:szCs w:val="22"/>
        </w:rPr>
        <w:t xml:space="preserve"> I70.711 – right leg </w:t>
      </w:r>
    </w:p>
    <w:p w:rsidR="00367D6C" w:rsidRDefault="00367D6C" w:rsidP="00367D6C">
      <w:pPr>
        <w:pStyle w:val="Default"/>
        <w:spacing w:after="30"/>
        <w:rPr>
          <w:color w:val="auto"/>
          <w:sz w:val="22"/>
          <w:szCs w:val="22"/>
        </w:rPr>
      </w:pPr>
      <w:r>
        <w:rPr>
          <w:color w:val="auto"/>
          <w:sz w:val="22"/>
          <w:szCs w:val="22"/>
        </w:rPr>
        <w:t xml:space="preserve"> I70.712 – left leg </w:t>
      </w:r>
    </w:p>
    <w:p w:rsidR="00367D6C" w:rsidRDefault="00367D6C" w:rsidP="00367D6C">
      <w:pPr>
        <w:pStyle w:val="Default"/>
        <w:spacing w:after="30"/>
        <w:rPr>
          <w:color w:val="auto"/>
          <w:sz w:val="22"/>
          <w:szCs w:val="22"/>
        </w:rPr>
      </w:pPr>
      <w:r>
        <w:rPr>
          <w:color w:val="auto"/>
          <w:sz w:val="22"/>
          <w:szCs w:val="22"/>
        </w:rPr>
        <w:t xml:space="preserve"> I70.713 – bilateral legs </w:t>
      </w:r>
    </w:p>
    <w:p w:rsidR="00367D6C" w:rsidRDefault="00367D6C" w:rsidP="00367D6C">
      <w:pPr>
        <w:pStyle w:val="Default"/>
        <w:rPr>
          <w:color w:val="auto"/>
          <w:sz w:val="22"/>
          <w:szCs w:val="22"/>
        </w:rPr>
      </w:pPr>
      <w:r>
        <w:rPr>
          <w:color w:val="auto"/>
          <w:sz w:val="22"/>
          <w:szCs w:val="22"/>
        </w:rPr>
        <w:t xml:space="preserve"> I70.718 – other extremity </w:t>
      </w:r>
    </w:p>
    <w:p w:rsidR="00367D6C" w:rsidRDefault="00367D6C" w:rsidP="00367D6C">
      <w:pPr>
        <w:pStyle w:val="Default"/>
        <w:rPr>
          <w:color w:val="auto"/>
          <w:sz w:val="22"/>
          <w:szCs w:val="22"/>
        </w:rPr>
      </w:pPr>
    </w:p>
    <w:p w:rsidR="00367D6C" w:rsidRDefault="00367D6C" w:rsidP="00367D6C">
      <w:pPr>
        <w:pStyle w:val="Default"/>
        <w:rPr>
          <w:color w:val="auto"/>
          <w:sz w:val="22"/>
          <w:szCs w:val="22"/>
        </w:rPr>
      </w:pPr>
      <w:r>
        <w:rPr>
          <w:color w:val="auto"/>
          <w:sz w:val="22"/>
          <w:szCs w:val="22"/>
        </w:rPr>
        <w:t xml:space="preserve">Medicare will deny claim line items for SET services when they do not contain one of the above ICD-10 codes using the following messages: </w:t>
      </w:r>
    </w:p>
    <w:p w:rsidR="00367D6C" w:rsidRDefault="00367D6C" w:rsidP="00367D6C">
      <w:pPr>
        <w:pStyle w:val="Default"/>
        <w:spacing w:after="32"/>
        <w:rPr>
          <w:color w:val="auto"/>
          <w:sz w:val="22"/>
          <w:szCs w:val="22"/>
        </w:rPr>
      </w:pPr>
      <w:r>
        <w:rPr>
          <w:color w:val="auto"/>
          <w:sz w:val="22"/>
          <w:szCs w:val="22"/>
        </w:rPr>
        <w:t> Claim Adjustment Reason Code (CARC) 167 – This (these) diagnosis (</w:t>
      </w:r>
      <w:proofErr w:type="spellStart"/>
      <w:r>
        <w:rPr>
          <w:color w:val="auto"/>
          <w:sz w:val="22"/>
          <w:szCs w:val="22"/>
        </w:rPr>
        <w:t>es</w:t>
      </w:r>
      <w:proofErr w:type="spellEnd"/>
      <w:r>
        <w:rPr>
          <w:color w:val="auto"/>
          <w:sz w:val="22"/>
          <w:szCs w:val="22"/>
        </w:rPr>
        <w:t xml:space="preserve">) is (are) not covered. Note: Refer to the 835 Healthcare Policy Identification Segment (loop 2110 Service Payment Information REF), if present. </w:t>
      </w:r>
    </w:p>
    <w:p w:rsidR="00367D6C" w:rsidRDefault="00367D6C" w:rsidP="00367D6C">
      <w:pPr>
        <w:pStyle w:val="Default"/>
        <w:spacing w:after="32"/>
        <w:rPr>
          <w:color w:val="auto"/>
          <w:sz w:val="22"/>
          <w:szCs w:val="22"/>
        </w:rPr>
      </w:pPr>
      <w:r>
        <w:rPr>
          <w:color w:val="auto"/>
          <w:sz w:val="22"/>
          <w:szCs w:val="22"/>
        </w:rPr>
        <w:t xml:space="preserve"> Remittance Advice Remark Code (RARC) N386: This decision was based on a National Coverage Determination 20.35 (NCD). An NCD provides a coverage determination as to whether a particular item or service is covered. A copy of this policy is available at www.cms.gov/mcd/search.asp. If you do not have web access, you may contact the contractor to request a copy of the NCD. </w:t>
      </w:r>
    </w:p>
    <w:p w:rsidR="00367D6C" w:rsidRDefault="00367D6C" w:rsidP="00367D6C">
      <w:pPr>
        <w:pStyle w:val="Default"/>
        <w:rPr>
          <w:color w:val="auto"/>
          <w:sz w:val="22"/>
          <w:szCs w:val="22"/>
        </w:rPr>
      </w:pPr>
      <w:r>
        <w:rPr>
          <w:color w:val="auto"/>
          <w:sz w:val="22"/>
          <w:szCs w:val="22"/>
        </w:rPr>
        <w:t xml:space="preserve"> Group Code CO (Contractual Obligation) assigning financial liability to the provider, if a claim is received with a GZ modifier indicating no signed ABN is on file. </w:t>
      </w:r>
    </w:p>
    <w:p w:rsidR="00367D6C" w:rsidRDefault="00367D6C" w:rsidP="00367D6C">
      <w:pPr>
        <w:pStyle w:val="Default"/>
        <w:rPr>
          <w:color w:val="auto"/>
          <w:sz w:val="22"/>
          <w:szCs w:val="22"/>
        </w:rPr>
      </w:pPr>
    </w:p>
    <w:p w:rsidR="00367D6C" w:rsidRDefault="00367D6C" w:rsidP="00367D6C">
      <w:pPr>
        <w:pStyle w:val="Default"/>
        <w:rPr>
          <w:color w:val="auto"/>
          <w:sz w:val="22"/>
          <w:szCs w:val="22"/>
        </w:rPr>
      </w:pPr>
      <w:r>
        <w:rPr>
          <w:color w:val="auto"/>
          <w:sz w:val="22"/>
          <w:szCs w:val="22"/>
        </w:rPr>
        <w:t xml:space="preserve">Institutional claims for SET must be submitted on Type of Bills (TOB) 13X or 85X. MACs will deny line items on institutional claims that are not submitted on TOB 13X or 85X using the following messages: </w:t>
      </w:r>
    </w:p>
    <w:p w:rsidR="00367D6C" w:rsidRDefault="00367D6C" w:rsidP="00367D6C">
      <w:pPr>
        <w:pStyle w:val="Default"/>
        <w:spacing w:after="32"/>
        <w:rPr>
          <w:color w:val="auto"/>
          <w:sz w:val="22"/>
          <w:szCs w:val="22"/>
        </w:rPr>
      </w:pPr>
      <w:r>
        <w:rPr>
          <w:color w:val="auto"/>
          <w:sz w:val="22"/>
          <w:szCs w:val="22"/>
        </w:rPr>
        <w:t xml:space="preserve"> CARC 58: “Treatment was deemed by the payer to have been rendered in an inappropriate or invalid place of service. NOTE: Refer to the 832 Healthcare Policy Identification Segment (loop 2110 Service payment Information REF), if present. </w:t>
      </w:r>
    </w:p>
    <w:p w:rsidR="00367D6C" w:rsidRDefault="00367D6C" w:rsidP="00367D6C">
      <w:pPr>
        <w:pStyle w:val="Default"/>
        <w:spacing w:after="32"/>
        <w:rPr>
          <w:color w:val="auto"/>
          <w:sz w:val="22"/>
          <w:szCs w:val="22"/>
        </w:rPr>
      </w:pPr>
      <w:r>
        <w:rPr>
          <w:color w:val="auto"/>
          <w:sz w:val="22"/>
          <w:szCs w:val="22"/>
        </w:rPr>
        <w:t xml:space="preserve"> RARC N386: “This decision was based on a National Coverage Determination 20.35 (NCD). An NCD provides a coverage determination as to whether a particular item or service is covered. A copy of this policy is available at www.cms.gov/mcd/search.asp. If you do not have web access, you may contact the contractor to request a copy of the NCD. </w:t>
      </w:r>
    </w:p>
    <w:p w:rsidR="00367D6C" w:rsidRDefault="00367D6C" w:rsidP="00367D6C">
      <w:pPr>
        <w:pStyle w:val="Default"/>
        <w:rPr>
          <w:color w:val="auto"/>
          <w:sz w:val="22"/>
          <w:szCs w:val="22"/>
        </w:rPr>
      </w:pPr>
      <w:r>
        <w:rPr>
          <w:color w:val="auto"/>
          <w:sz w:val="22"/>
          <w:szCs w:val="22"/>
        </w:rPr>
        <w:t xml:space="preserve"> Group Code CO (Contractual Obligation) assigning financial liability to the provider, if a claim is received with a GZ modifier indicating no signed ABN is on file. </w:t>
      </w:r>
    </w:p>
    <w:p w:rsidR="00367D6C" w:rsidRDefault="00367D6C" w:rsidP="00367D6C">
      <w:pPr>
        <w:pStyle w:val="Default"/>
        <w:rPr>
          <w:color w:val="auto"/>
          <w:sz w:val="22"/>
          <w:szCs w:val="22"/>
        </w:rPr>
      </w:pPr>
    </w:p>
    <w:p w:rsidR="00367D6C" w:rsidRDefault="00367D6C" w:rsidP="00367D6C">
      <w:pPr>
        <w:pStyle w:val="Default"/>
        <w:rPr>
          <w:color w:val="auto"/>
          <w:sz w:val="22"/>
          <w:szCs w:val="22"/>
        </w:rPr>
      </w:pPr>
      <w:r>
        <w:rPr>
          <w:color w:val="auto"/>
          <w:sz w:val="22"/>
          <w:szCs w:val="22"/>
        </w:rPr>
        <w:t xml:space="preserve">Medicare will pay claims for SET services containing CPT code 93668 on Types of Bill (TOBs) 13X under OPPS and 85X on reasonable cost, except it will pay claims for SET services containing CPT 93668 with revenue codes 096X, 097X, or 098X when billed on TOB 85X Method II Critical Access Hospitals (CAHs) based on 115% of the lesser of the fee schedule amount or the submitted charge. </w:t>
      </w:r>
    </w:p>
    <w:p w:rsidR="00367D6C" w:rsidRDefault="00367D6C" w:rsidP="00367D6C">
      <w:pPr>
        <w:pStyle w:val="Default"/>
        <w:rPr>
          <w:color w:val="auto"/>
          <w:sz w:val="22"/>
          <w:szCs w:val="22"/>
        </w:rPr>
      </w:pPr>
      <w:r>
        <w:rPr>
          <w:color w:val="auto"/>
          <w:sz w:val="22"/>
          <w:szCs w:val="22"/>
        </w:rPr>
        <w:t xml:space="preserve">Medicare will reject claims with CPT 93668 which exceed 36 sessions within 84 days from the date of the first session when the KX modifier is not included on the claim line OR any SET session provided after 84 days from the date of the first session and the KX modifier is not included on the claim and use the following messages: </w:t>
      </w:r>
    </w:p>
    <w:p w:rsidR="00367D6C" w:rsidRDefault="00367D6C" w:rsidP="00367D6C">
      <w:pPr>
        <w:pStyle w:val="Default"/>
        <w:rPr>
          <w:color w:val="auto"/>
          <w:sz w:val="22"/>
          <w:szCs w:val="22"/>
        </w:rPr>
      </w:pPr>
      <w:r>
        <w:rPr>
          <w:color w:val="auto"/>
          <w:sz w:val="22"/>
          <w:szCs w:val="22"/>
        </w:rPr>
        <w:t xml:space="preserve"> CARC 96: Non-covered charge(s). At least one Remark Code must be provided (may be comprised of either the NCPDP Reject Reason [sic] Code, or Remittance Advice </w:t>
      </w:r>
    </w:p>
    <w:p w:rsidR="00367D6C" w:rsidRDefault="00367D6C" w:rsidP="00367D6C">
      <w:pPr>
        <w:pStyle w:val="Default"/>
        <w:rPr>
          <w:color w:val="auto"/>
          <w:sz w:val="22"/>
          <w:szCs w:val="22"/>
        </w:rPr>
      </w:pPr>
      <w:r>
        <w:rPr>
          <w:b/>
          <w:bCs/>
          <w:color w:val="auto"/>
          <w:sz w:val="22"/>
          <w:szCs w:val="22"/>
        </w:rPr>
        <w:t xml:space="preserve">MLN Matters MM10295 Related CR 10295 </w:t>
      </w:r>
    </w:p>
    <w:p w:rsidR="00367D6C" w:rsidRDefault="00367D6C" w:rsidP="00367D6C">
      <w:pPr>
        <w:pStyle w:val="Default"/>
        <w:rPr>
          <w:color w:val="auto"/>
          <w:sz w:val="22"/>
          <w:szCs w:val="22"/>
        </w:rPr>
      </w:pPr>
      <w:r>
        <w:rPr>
          <w:color w:val="auto"/>
          <w:sz w:val="22"/>
          <w:szCs w:val="22"/>
        </w:rPr>
        <w:t xml:space="preserve">Page 4 of 5 </w:t>
      </w:r>
    </w:p>
    <w:p w:rsidR="00367D6C" w:rsidRDefault="00367D6C" w:rsidP="00367D6C">
      <w:pPr>
        <w:pStyle w:val="Default"/>
        <w:rPr>
          <w:color w:val="auto"/>
        </w:rPr>
      </w:pPr>
    </w:p>
    <w:p w:rsidR="00367D6C" w:rsidRDefault="00367D6C" w:rsidP="00367D6C">
      <w:pPr>
        <w:pStyle w:val="Default"/>
        <w:pageBreakBefore/>
        <w:rPr>
          <w:color w:val="auto"/>
        </w:rPr>
      </w:pPr>
    </w:p>
    <w:p w:rsidR="00367D6C" w:rsidRDefault="00367D6C" w:rsidP="00367D6C">
      <w:pPr>
        <w:pStyle w:val="Default"/>
        <w:spacing w:after="33"/>
        <w:rPr>
          <w:color w:val="auto"/>
          <w:sz w:val="22"/>
          <w:szCs w:val="22"/>
        </w:rPr>
      </w:pPr>
      <w:r>
        <w:rPr>
          <w:color w:val="auto"/>
          <w:sz w:val="22"/>
          <w:szCs w:val="22"/>
        </w:rPr>
        <w:t xml:space="preserve">Remark Code that is not an ALERT.) Note: Refer to the 835 Healthcare Policy Identification Segment (loop 2110 Service Payment Information REF), if present. </w:t>
      </w:r>
    </w:p>
    <w:p w:rsidR="00367D6C" w:rsidRDefault="00367D6C" w:rsidP="00367D6C">
      <w:pPr>
        <w:pStyle w:val="Default"/>
        <w:spacing w:after="33"/>
        <w:rPr>
          <w:color w:val="auto"/>
          <w:sz w:val="22"/>
          <w:szCs w:val="22"/>
        </w:rPr>
      </w:pPr>
      <w:r>
        <w:rPr>
          <w:color w:val="auto"/>
          <w:sz w:val="22"/>
          <w:szCs w:val="22"/>
        </w:rPr>
        <w:t xml:space="preserve"> RARC N640: Exceeds number/frequency approved/allowed within time period. </w:t>
      </w:r>
    </w:p>
    <w:p w:rsidR="00367D6C" w:rsidRDefault="00367D6C" w:rsidP="00367D6C">
      <w:pPr>
        <w:pStyle w:val="Default"/>
        <w:spacing w:after="33"/>
        <w:rPr>
          <w:color w:val="auto"/>
          <w:sz w:val="22"/>
          <w:szCs w:val="22"/>
        </w:rPr>
      </w:pPr>
      <w:r>
        <w:rPr>
          <w:color w:val="auto"/>
          <w:sz w:val="22"/>
          <w:szCs w:val="22"/>
        </w:rPr>
        <w:t xml:space="preserve"> Group Code CO (Contractual Obligation) assigning financial liability to the provider, if a claim is received with a GZ modifier indicating no signed ABN is on file. </w:t>
      </w:r>
    </w:p>
    <w:p w:rsidR="00367D6C" w:rsidRDefault="00367D6C" w:rsidP="00367D6C">
      <w:pPr>
        <w:pStyle w:val="Default"/>
        <w:rPr>
          <w:color w:val="auto"/>
          <w:sz w:val="22"/>
          <w:szCs w:val="22"/>
        </w:rPr>
      </w:pPr>
      <w:r>
        <w:rPr>
          <w:color w:val="auto"/>
          <w:sz w:val="22"/>
          <w:szCs w:val="22"/>
        </w:rPr>
        <w:t xml:space="preserve"> Group Code PR (Patient Responsibility) assigning financial liability to the beneficiary if a claim is received with a GA modifier indicating a signed ABN is on file. </w:t>
      </w:r>
    </w:p>
    <w:p w:rsidR="00367D6C" w:rsidRDefault="00367D6C" w:rsidP="00367D6C">
      <w:pPr>
        <w:pStyle w:val="Default"/>
        <w:rPr>
          <w:color w:val="auto"/>
          <w:sz w:val="22"/>
          <w:szCs w:val="22"/>
        </w:rPr>
      </w:pPr>
    </w:p>
    <w:p w:rsidR="00367D6C" w:rsidRDefault="00367D6C" w:rsidP="00367D6C">
      <w:pPr>
        <w:pStyle w:val="Default"/>
        <w:rPr>
          <w:color w:val="auto"/>
          <w:sz w:val="22"/>
          <w:szCs w:val="22"/>
        </w:rPr>
      </w:pPr>
      <w:r>
        <w:rPr>
          <w:color w:val="auto"/>
          <w:sz w:val="22"/>
          <w:szCs w:val="22"/>
        </w:rPr>
        <w:t xml:space="preserve">MACs will deny/reject claim lines for SET exceeding 73 sessions using the following codes: </w:t>
      </w:r>
    </w:p>
    <w:p w:rsidR="00367D6C" w:rsidRDefault="00367D6C" w:rsidP="00367D6C">
      <w:pPr>
        <w:pStyle w:val="Default"/>
        <w:spacing w:after="31"/>
        <w:rPr>
          <w:color w:val="auto"/>
          <w:sz w:val="22"/>
          <w:szCs w:val="22"/>
        </w:rPr>
      </w:pPr>
      <w:r>
        <w:rPr>
          <w:color w:val="auto"/>
          <w:sz w:val="22"/>
          <w:szCs w:val="22"/>
        </w:rPr>
        <w:t xml:space="preserve"> CARC 119: Benefit maximum for this time period or occurrence has been reached. </w:t>
      </w:r>
    </w:p>
    <w:p w:rsidR="00367D6C" w:rsidRDefault="00367D6C" w:rsidP="00367D6C">
      <w:pPr>
        <w:pStyle w:val="Default"/>
        <w:spacing w:after="31"/>
        <w:rPr>
          <w:color w:val="auto"/>
          <w:sz w:val="22"/>
          <w:szCs w:val="22"/>
        </w:rPr>
      </w:pPr>
      <w:r>
        <w:rPr>
          <w:color w:val="auto"/>
          <w:sz w:val="22"/>
          <w:szCs w:val="22"/>
        </w:rPr>
        <w:t xml:space="preserve"> RARC N386: “This decision was based on a National Coverage Determination 20.35 (NCD). An NCD provides a coverage determination as to whether a particular item or service is covered. A copy of this policy is available at www.cms.gov/mcd/search.asp. If you do not have web access, you may contact the contractor to request a copy of the NCD. </w:t>
      </w:r>
    </w:p>
    <w:p w:rsidR="00367D6C" w:rsidRDefault="00367D6C" w:rsidP="00367D6C">
      <w:pPr>
        <w:pStyle w:val="Default"/>
        <w:spacing w:after="31"/>
        <w:rPr>
          <w:color w:val="auto"/>
          <w:sz w:val="22"/>
          <w:szCs w:val="22"/>
        </w:rPr>
      </w:pPr>
      <w:r>
        <w:rPr>
          <w:color w:val="auto"/>
          <w:sz w:val="22"/>
          <w:szCs w:val="22"/>
        </w:rPr>
        <w:t xml:space="preserve"> Group Code CO (Contractual Obligation) assigning financial liability to the provider, if a claim is received with a GZ modifier indicating no signed ABN is on file. </w:t>
      </w:r>
    </w:p>
    <w:p w:rsidR="00367D6C" w:rsidRDefault="00367D6C" w:rsidP="00367D6C">
      <w:pPr>
        <w:pStyle w:val="Default"/>
        <w:rPr>
          <w:color w:val="auto"/>
          <w:sz w:val="22"/>
          <w:szCs w:val="22"/>
        </w:rPr>
      </w:pPr>
      <w:r>
        <w:rPr>
          <w:color w:val="auto"/>
          <w:sz w:val="22"/>
          <w:szCs w:val="22"/>
        </w:rPr>
        <w:t xml:space="preserve"> Group Code PR (Patient Responsibility) assigning financial liability to the beneficiary if a claim is received with a GA modifier indicating a signed ABN is on file. </w:t>
      </w:r>
    </w:p>
    <w:p w:rsidR="00367D6C" w:rsidRDefault="00367D6C" w:rsidP="00367D6C">
      <w:pPr>
        <w:pStyle w:val="Default"/>
        <w:rPr>
          <w:color w:val="auto"/>
          <w:sz w:val="22"/>
          <w:szCs w:val="22"/>
        </w:rPr>
      </w:pPr>
    </w:p>
    <w:p w:rsidR="00367D6C" w:rsidRDefault="00367D6C" w:rsidP="00367D6C">
      <w:pPr>
        <w:pStyle w:val="Default"/>
        <w:rPr>
          <w:color w:val="auto"/>
          <w:sz w:val="22"/>
          <w:szCs w:val="22"/>
        </w:rPr>
      </w:pPr>
      <w:r>
        <w:rPr>
          <w:color w:val="auto"/>
          <w:sz w:val="22"/>
          <w:szCs w:val="22"/>
        </w:rPr>
        <w:t xml:space="preserve">Medicare’s Common Working File (CWF) will display remaining SET sessions on all CWF provider query screens (HIQA, HIQH, ELGH, ELGA, and HUQA). The Multi-Carrier System Desktop Tool will also display remaining SET sessions in a format equivalent to the CWF HIMR screen(s). </w:t>
      </w:r>
    </w:p>
    <w:p w:rsidR="00367D6C" w:rsidRDefault="00367D6C" w:rsidP="00367D6C">
      <w:pPr>
        <w:pStyle w:val="Default"/>
        <w:rPr>
          <w:color w:val="auto"/>
          <w:sz w:val="28"/>
          <w:szCs w:val="28"/>
        </w:rPr>
      </w:pPr>
      <w:r>
        <w:rPr>
          <w:b/>
          <w:bCs/>
          <w:color w:val="auto"/>
          <w:sz w:val="28"/>
          <w:szCs w:val="28"/>
        </w:rPr>
        <w:t xml:space="preserve">ADDITIONAL INFORMATION </w:t>
      </w:r>
    </w:p>
    <w:p w:rsidR="00367D6C" w:rsidRDefault="00367D6C" w:rsidP="00367D6C">
      <w:pPr>
        <w:pStyle w:val="Default"/>
        <w:rPr>
          <w:color w:val="auto"/>
          <w:sz w:val="22"/>
          <w:szCs w:val="22"/>
        </w:rPr>
      </w:pPr>
      <w:r>
        <w:rPr>
          <w:color w:val="auto"/>
          <w:sz w:val="22"/>
          <w:szCs w:val="22"/>
        </w:rPr>
        <w:t xml:space="preserve">The official instruction, CR10295, was issued to your MAC via two transmittals. The first updates the Medicare Claims Processing Manual and it is available at https://www.cms.gov/Regulations-and-Guidance/Guidance/Transmittals/2018Downloads/R4049CP.pdf. The second updates the NCD Manual and it is available at https://www.cms.gov/Regulations-and-Guidance/Guidance/Transmittals/2018Downloads/R207NCD.pdf. If you have any questions, please contact your MAC at their toll-free number. That number is available at https://www.cms.gov/Research-Statistics-Data-and-Systems/Monitoring-Programs/Medicare-FFS-Compliance-Programs/Review-Contractor-Directory-Interactive-Map/. </w:t>
      </w:r>
      <w:r>
        <w:rPr>
          <w:b/>
          <w:bCs/>
          <w:color w:val="auto"/>
          <w:sz w:val="22"/>
          <w:szCs w:val="22"/>
        </w:rPr>
        <w:t xml:space="preserve">MLN Matters MM10295 Related CR 10295 </w:t>
      </w:r>
    </w:p>
    <w:p w:rsidR="00367D6C" w:rsidRDefault="00367D6C" w:rsidP="00367D6C">
      <w:pPr>
        <w:pStyle w:val="Default"/>
        <w:rPr>
          <w:color w:val="auto"/>
          <w:sz w:val="22"/>
          <w:szCs w:val="22"/>
        </w:rPr>
      </w:pPr>
      <w:r>
        <w:rPr>
          <w:color w:val="auto"/>
          <w:sz w:val="22"/>
          <w:szCs w:val="22"/>
        </w:rPr>
        <w:t xml:space="preserve">Page 5 of 5 </w:t>
      </w:r>
    </w:p>
    <w:p w:rsidR="00367D6C" w:rsidRDefault="00367D6C" w:rsidP="00367D6C">
      <w:pPr>
        <w:pStyle w:val="Default"/>
        <w:rPr>
          <w:color w:val="auto"/>
        </w:rPr>
      </w:pPr>
    </w:p>
    <w:tbl>
      <w:tblPr>
        <w:tblW w:w="0" w:type="auto"/>
        <w:tblBorders>
          <w:top w:val="nil"/>
          <w:left w:val="nil"/>
          <w:bottom w:val="nil"/>
          <w:right w:val="nil"/>
        </w:tblBorders>
        <w:tblLayout w:type="fixed"/>
        <w:tblLook w:val="0000" w:firstRow="0" w:lastRow="0" w:firstColumn="0" w:lastColumn="0" w:noHBand="0" w:noVBand="0"/>
      </w:tblPr>
      <w:tblGrid>
        <w:gridCol w:w="4561"/>
        <w:gridCol w:w="4561"/>
      </w:tblGrid>
      <w:tr w:rsidR="00367D6C">
        <w:trPr>
          <w:trHeight w:val="232"/>
        </w:trPr>
        <w:tc>
          <w:tcPr>
            <w:tcW w:w="4561" w:type="dxa"/>
          </w:tcPr>
          <w:p w:rsidR="00367D6C" w:rsidRDefault="00367D6C">
            <w:pPr>
              <w:pStyle w:val="Default"/>
              <w:rPr>
                <w:sz w:val="22"/>
                <w:szCs w:val="22"/>
              </w:rPr>
            </w:pPr>
            <w:r>
              <w:rPr>
                <w:b/>
                <w:bCs/>
                <w:color w:val="auto"/>
                <w:sz w:val="28"/>
                <w:szCs w:val="28"/>
              </w:rPr>
              <w:t xml:space="preserve">DOCUMENT HISTORY </w:t>
            </w:r>
            <w:r>
              <w:rPr>
                <w:b/>
                <w:bCs/>
                <w:sz w:val="22"/>
                <w:szCs w:val="22"/>
              </w:rPr>
              <w:t xml:space="preserve">Date of Change </w:t>
            </w:r>
          </w:p>
        </w:tc>
        <w:tc>
          <w:tcPr>
            <w:tcW w:w="4561" w:type="dxa"/>
          </w:tcPr>
          <w:p w:rsidR="00367D6C" w:rsidRDefault="00367D6C">
            <w:pPr>
              <w:pStyle w:val="Default"/>
              <w:rPr>
                <w:sz w:val="22"/>
                <w:szCs w:val="22"/>
              </w:rPr>
            </w:pPr>
            <w:r>
              <w:rPr>
                <w:b/>
                <w:bCs/>
                <w:sz w:val="22"/>
                <w:szCs w:val="22"/>
              </w:rPr>
              <w:t xml:space="preserve">Description </w:t>
            </w:r>
          </w:p>
        </w:tc>
      </w:tr>
      <w:tr w:rsidR="00367D6C">
        <w:trPr>
          <w:trHeight w:val="355"/>
        </w:trPr>
        <w:tc>
          <w:tcPr>
            <w:tcW w:w="4561" w:type="dxa"/>
          </w:tcPr>
          <w:p w:rsidR="00367D6C" w:rsidRDefault="00367D6C">
            <w:pPr>
              <w:pStyle w:val="Default"/>
              <w:rPr>
                <w:sz w:val="22"/>
                <w:szCs w:val="22"/>
              </w:rPr>
            </w:pPr>
            <w:r>
              <w:rPr>
                <w:sz w:val="22"/>
                <w:szCs w:val="22"/>
              </w:rPr>
              <w:t xml:space="preserve">May 15, 2018 </w:t>
            </w:r>
          </w:p>
        </w:tc>
        <w:tc>
          <w:tcPr>
            <w:tcW w:w="4561" w:type="dxa"/>
          </w:tcPr>
          <w:p w:rsidR="00367D6C" w:rsidRDefault="00367D6C">
            <w:pPr>
              <w:pStyle w:val="Default"/>
              <w:rPr>
                <w:sz w:val="22"/>
                <w:szCs w:val="22"/>
              </w:rPr>
            </w:pPr>
            <w:r>
              <w:rPr>
                <w:sz w:val="22"/>
                <w:szCs w:val="22"/>
              </w:rPr>
              <w:t xml:space="preserve">The article was revised to clarify that one of the requirements of the SET program is it must be conducted in a hospital outpatient setting or in a physician’s office. All other information remains the same. </w:t>
            </w:r>
          </w:p>
        </w:tc>
      </w:tr>
      <w:tr w:rsidR="00367D6C">
        <w:trPr>
          <w:trHeight w:val="608"/>
        </w:trPr>
        <w:tc>
          <w:tcPr>
            <w:tcW w:w="4561" w:type="dxa"/>
          </w:tcPr>
          <w:p w:rsidR="00367D6C" w:rsidRDefault="00367D6C">
            <w:pPr>
              <w:pStyle w:val="Default"/>
              <w:rPr>
                <w:sz w:val="22"/>
                <w:szCs w:val="22"/>
              </w:rPr>
            </w:pPr>
            <w:r>
              <w:rPr>
                <w:sz w:val="22"/>
                <w:szCs w:val="22"/>
              </w:rPr>
              <w:t xml:space="preserve">May 14, 2018 </w:t>
            </w:r>
          </w:p>
        </w:tc>
        <w:tc>
          <w:tcPr>
            <w:tcW w:w="4561" w:type="dxa"/>
          </w:tcPr>
          <w:p w:rsidR="00367D6C" w:rsidRDefault="00367D6C">
            <w:pPr>
              <w:pStyle w:val="Default"/>
              <w:rPr>
                <w:sz w:val="22"/>
                <w:szCs w:val="22"/>
              </w:rPr>
            </w:pPr>
            <w:r>
              <w:rPr>
                <w:sz w:val="22"/>
                <w:szCs w:val="22"/>
              </w:rPr>
              <w:t xml:space="preserve">The article was revised to reflect a revised CR issued on May 11. The CR was revised to remove place of service code edit requirements. The article was revised accordingly. Also, in the article, the CR release date, transmittal numbers and the Web address of the CR are revised. All other information remains the same. </w:t>
            </w:r>
          </w:p>
        </w:tc>
      </w:tr>
      <w:tr w:rsidR="00367D6C">
        <w:trPr>
          <w:trHeight w:val="356"/>
        </w:trPr>
        <w:tc>
          <w:tcPr>
            <w:tcW w:w="4561" w:type="dxa"/>
          </w:tcPr>
          <w:p w:rsidR="00367D6C" w:rsidRDefault="00367D6C">
            <w:pPr>
              <w:pStyle w:val="Default"/>
              <w:rPr>
                <w:sz w:val="22"/>
                <w:szCs w:val="22"/>
              </w:rPr>
            </w:pPr>
            <w:r>
              <w:rPr>
                <w:sz w:val="22"/>
                <w:szCs w:val="22"/>
              </w:rPr>
              <w:t xml:space="preserve">April 11, 2018 </w:t>
            </w:r>
          </w:p>
        </w:tc>
        <w:tc>
          <w:tcPr>
            <w:tcW w:w="4561" w:type="dxa"/>
          </w:tcPr>
          <w:p w:rsidR="00367D6C" w:rsidRDefault="00367D6C">
            <w:pPr>
              <w:pStyle w:val="Default"/>
              <w:rPr>
                <w:sz w:val="22"/>
                <w:szCs w:val="22"/>
              </w:rPr>
            </w:pPr>
            <w:r>
              <w:rPr>
                <w:sz w:val="22"/>
                <w:szCs w:val="22"/>
              </w:rPr>
              <w:t xml:space="preserve">The article was revised to clarify that the SET program must be provided in a physician’s office (Place of Service code 11). All other information remains the same. </w:t>
            </w:r>
          </w:p>
        </w:tc>
      </w:tr>
      <w:tr w:rsidR="00367D6C">
        <w:trPr>
          <w:trHeight w:val="608"/>
        </w:trPr>
        <w:tc>
          <w:tcPr>
            <w:tcW w:w="4561" w:type="dxa"/>
          </w:tcPr>
          <w:p w:rsidR="00367D6C" w:rsidRDefault="00367D6C">
            <w:pPr>
              <w:pStyle w:val="Default"/>
              <w:rPr>
                <w:sz w:val="22"/>
                <w:szCs w:val="22"/>
              </w:rPr>
            </w:pPr>
            <w:r>
              <w:rPr>
                <w:sz w:val="22"/>
                <w:szCs w:val="22"/>
              </w:rPr>
              <w:t xml:space="preserve">April 5, 2018 </w:t>
            </w:r>
          </w:p>
        </w:tc>
        <w:tc>
          <w:tcPr>
            <w:tcW w:w="4561" w:type="dxa"/>
          </w:tcPr>
          <w:p w:rsidR="00367D6C" w:rsidRDefault="00367D6C">
            <w:pPr>
              <w:pStyle w:val="Default"/>
              <w:rPr>
                <w:sz w:val="22"/>
                <w:szCs w:val="22"/>
              </w:rPr>
            </w:pPr>
            <w:r>
              <w:rPr>
                <w:sz w:val="22"/>
                <w:szCs w:val="22"/>
              </w:rPr>
              <w:t xml:space="preserve">The article was revised to reflect a revised CR. The MAC implementation date, CR release date, transmittal numbers and the Web addresses of the transmittals were revised. In addition, the article and CR were revised to delete place of service codes 19 and 22 as acceptable places of service for CPT 93668. All other information remains the same. </w:t>
            </w:r>
          </w:p>
        </w:tc>
      </w:tr>
      <w:tr w:rsidR="00367D6C">
        <w:trPr>
          <w:trHeight w:val="356"/>
        </w:trPr>
        <w:tc>
          <w:tcPr>
            <w:tcW w:w="4561" w:type="dxa"/>
          </w:tcPr>
          <w:p w:rsidR="00367D6C" w:rsidRDefault="00367D6C">
            <w:pPr>
              <w:pStyle w:val="Default"/>
              <w:rPr>
                <w:sz w:val="22"/>
                <w:szCs w:val="22"/>
              </w:rPr>
            </w:pPr>
            <w:r>
              <w:rPr>
                <w:sz w:val="22"/>
                <w:szCs w:val="22"/>
              </w:rPr>
              <w:t xml:space="preserve">March 5, 2018 </w:t>
            </w:r>
          </w:p>
        </w:tc>
        <w:tc>
          <w:tcPr>
            <w:tcW w:w="4561" w:type="dxa"/>
          </w:tcPr>
          <w:p w:rsidR="00367D6C" w:rsidRDefault="00367D6C">
            <w:pPr>
              <w:pStyle w:val="Default"/>
              <w:rPr>
                <w:sz w:val="22"/>
                <w:szCs w:val="22"/>
              </w:rPr>
            </w:pPr>
            <w:r>
              <w:rPr>
                <w:sz w:val="22"/>
                <w:szCs w:val="22"/>
              </w:rPr>
              <w:t xml:space="preserve">The article was revised to reflect a revised CR. The MAC implementation date, CR release date, transmittal numbers and the Web addresses of the transmittals were revised. All other information remains the same. </w:t>
            </w:r>
          </w:p>
        </w:tc>
      </w:tr>
      <w:tr w:rsidR="00367D6C">
        <w:trPr>
          <w:trHeight w:val="229"/>
        </w:trPr>
        <w:tc>
          <w:tcPr>
            <w:tcW w:w="4561" w:type="dxa"/>
          </w:tcPr>
          <w:p w:rsidR="00367D6C" w:rsidRDefault="00367D6C">
            <w:pPr>
              <w:pStyle w:val="Default"/>
              <w:rPr>
                <w:sz w:val="22"/>
                <w:szCs w:val="22"/>
              </w:rPr>
            </w:pPr>
            <w:r>
              <w:rPr>
                <w:sz w:val="22"/>
                <w:szCs w:val="22"/>
              </w:rPr>
              <w:t xml:space="preserve">February 6, 2018 </w:t>
            </w:r>
          </w:p>
        </w:tc>
        <w:tc>
          <w:tcPr>
            <w:tcW w:w="4561" w:type="dxa"/>
          </w:tcPr>
          <w:p w:rsidR="00367D6C" w:rsidRDefault="00367D6C">
            <w:pPr>
              <w:pStyle w:val="Default"/>
              <w:rPr>
                <w:sz w:val="22"/>
                <w:szCs w:val="22"/>
              </w:rPr>
            </w:pPr>
            <w:r>
              <w:rPr>
                <w:sz w:val="22"/>
                <w:szCs w:val="22"/>
              </w:rPr>
              <w:t xml:space="preserve">Initial article released. </w:t>
            </w:r>
          </w:p>
        </w:tc>
      </w:tr>
    </w:tbl>
    <w:p w:rsidR="00367D6C" w:rsidRDefault="00367D6C" w:rsidP="00367D6C"/>
    <w:sectPr w:rsidR="00367D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D6C"/>
    <w:rsid w:val="00367D6C"/>
    <w:rsid w:val="00491DE4"/>
    <w:rsid w:val="00642FB3"/>
    <w:rsid w:val="00A6644D"/>
    <w:rsid w:val="00B47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0047A4-34A6-47CA-AF73-E5D579704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7D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D6C"/>
    <w:rPr>
      <w:rFonts w:ascii="Tahoma" w:hAnsi="Tahoma" w:cs="Tahoma"/>
      <w:sz w:val="16"/>
      <w:szCs w:val="16"/>
    </w:rPr>
  </w:style>
  <w:style w:type="paragraph" w:customStyle="1" w:styleId="Default">
    <w:name w:val="Default"/>
    <w:rsid w:val="00367D6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1647</Words>
  <Characters>9393</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WFUHS</Company>
  <LinksUpToDate>false</LinksUpToDate>
  <CharactersWithSpaces>11018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WFBMC</dc:creator>
  <cp:lastModifiedBy>Greenway, Stacey</cp:lastModifiedBy>
  <cp:revision>2</cp:revision>
  <dcterms:created xsi:type="dcterms:W3CDTF">2018-05-17T17:07:00Z</dcterms:created>
  <dcterms:modified xsi:type="dcterms:W3CDTF">2018-05-17T17:07:00Z</dcterms:modified>
</cp:coreProperties>
</file>